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2A18AFE9" w:rsidR="00A6150B" w:rsidRDefault="00511F12" w:rsidP="00325FB4">
      <w:pPr>
        <w:pStyle w:val="Heading2"/>
        <w:spacing w:before="0"/>
        <w:rPr>
          <w:rFonts w:eastAsia="Arial"/>
          <w:b/>
          <w:sz w:val="36"/>
          <w:szCs w:val="36"/>
        </w:rPr>
      </w:pPr>
      <w:r>
        <w:rPr>
          <w:rFonts w:eastAsia="Arial"/>
          <w:b/>
          <w:sz w:val="36"/>
          <w:szCs w:val="36"/>
        </w:rPr>
        <w:t>FAA ERAM Outage</w:t>
      </w:r>
      <w:r w:rsidR="009633BF">
        <w:rPr>
          <w:rFonts w:eastAsia="Arial"/>
          <w:b/>
          <w:sz w:val="36"/>
          <w:szCs w:val="36"/>
        </w:rPr>
        <w:t xml:space="preserve"> Case Study</w:t>
      </w:r>
    </w:p>
    <w:p w14:paraId="5A3FF44D" w14:textId="77777777" w:rsidR="00511F12" w:rsidRDefault="00511F12" w:rsidP="00511F12">
      <w:pPr>
        <w:pStyle w:val="Heading2"/>
      </w:pPr>
    </w:p>
    <w:p w14:paraId="628C1AB1" w14:textId="77777777" w:rsidR="00511F12" w:rsidRDefault="00511F12" w:rsidP="00511F12">
      <w:pPr>
        <w:pStyle w:val="Heading2"/>
      </w:pPr>
    </w:p>
    <w:p w14:paraId="33E8E7A5" w14:textId="77777777" w:rsidR="00511F12" w:rsidRPr="00CA161B" w:rsidRDefault="00511F12" w:rsidP="00511F12">
      <w:pPr>
        <w:pStyle w:val="Heading2"/>
        <w:rPr>
          <w:rFonts w:eastAsia="Arial" w:cstheme="majorHAnsi"/>
          <w:b/>
          <w:bCs/>
          <w:sz w:val="36"/>
          <w:szCs w:val="36"/>
        </w:rPr>
      </w:pPr>
      <w:r w:rsidRPr="00CA161B">
        <w:rPr>
          <w:rFonts w:cstheme="majorHAnsi"/>
          <w:b/>
          <w:bCs/>
          <w:sz w:val="36"/>
          <w:szCs w:val="36"/>
        </w:rPr>
        <w:t>Bastian Tenbergen</w:t>
      </w:r>
      <w:r w:rsidRPr="00CA161B">
        <w:rPr>
          <w:rFonts w:cstheme="majorHAnsi"/>
          <w:b/>
          <w:bCs/>
          <w:sz w:val="36"/>
          <w:szCs w:val="36"/>
        </w:rPr>
        <w:tab/>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25A35E11" w:rsidR="00325FB4" w:rsidRPr="00325FB4" w:rsidRDefault="00876080">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0182D30B" w14:textId="77777777" w:rsidR="00511F12" w:rsidRPr="00325FB4" w:rsidRDefault="00511F12" w:rsidP="00511F12">
      <w:pPr>
        <w:rPr>
          <w:sz w:val="24"/>
          <w:szCs w:val="24"/>
        </w:rPr>
      </w:pPr>
      <w:r w:rsidRPr="00325FB4">
        <w:rPr>
          <w:sz w:val="24"/>
          <w:szCs w:val="24"/>
        </w:rPr>
        <w:lastRenderedPageBreak/>
        <w:t>Copyright 20</w:t>
      </w:r>
      <w:r>
        <w:rPr>
          <w:sz w:val="24"/>
          <w:szCs w:val="24"/>
        </w:rPr>
        <w:t>21</w:t>
      </w:r>
      <w:r w:rsidRPr="00325FB4">
        <w:rPr>
          <w:sz w:val="24"/>
          <w:szCs w:val="24"/>
        </w:rPr>
        <w:t xml:space="preserve"> </w:t>
      </w:r>
      <w:r>
        <w:rPr>
          <w:sz w:val="24"/>
          <w:szCs w:val="24"/>
        </w:rPr>
        <w:t>Bastian Tenbergen. All Rights Reserved.</w:t>
      </w:r>
      <w:r w:rsidRPr="00325FB4">
        <w:rPr>
          <w:sz w:val="24"/>
          <w:szCs w:val="24"/>
        </w:rPr>
        <w:t xml:space="preserve"> </w:t>
      </w:r>
    </w:p>
    <w:p w14:paraId="12E70D11" w14:textId="77777777" w:rsidR="00511F12" w:rsidRPr="00325FB4" w:rsidRDefault="00511F12" w:rsidP="00511F12">
      <w:pPr>
        <w:rPr>
          <w:sz w:val="24"/>
          <w:szCs w:val="24"/>
        </w:rPr>
      </w:pPr>
    </w:p>
    <w:p w14:paraId="44ECF4E6" w14:textId="77777777" w:rsidR="00511F12" w:rsidRPr="00325FB4" w:rsidRDefault="00511F12" w:rsidP="00511F12">
      <w:pPr>
        <w:rPr>
          <w:sz w:val="24"/>
          <w:szCs w:val="24"/>
        </w:rPr>
      </w:pPr>
      <w:r w:rsidRPr="00325FB4">
        <w:rPr>
          <w:sz w:val="24"/>
          <w:szCs w:val="24"/>
        </w:rPr>
        <w:t xml:space="preserve">NO WARRANTY </w:t>
      </w:r>
    </w:p>
    <w:p w14:paraId="517BFD51" w14:textId="77777777" w:rsidR="00511F12" w:rsidRPr="00325FB4" w:rsidRDefault="00511F12" w:rsidP="00511F12">
      <w:pPr>
        <w:rPr>
          <w:sz w:val="24"/>
          <w:szCs w:val="24"/>
        </w:rPr>
      </w:pPr>
      <w:r w:rsidRPr="00325FB4">
        <w:rPr>
          <w:sz w:val="24"/>
          <w:szCs w:val="24"/>
        </w:rPr>
        <w:t xml:space="preserve">THIS MATERIAL IS FURNISHED ON AN "AS-IS" BASIS. </w:t>
      </w:r>
      <w:r>
        <w:rPr>
          <w:sz w:val="24"/>
          <w:szCs w:val="24"/>
        </w:rPr>
        <w:t xml:space="preserve">THE AUTHOR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AUTHOR </w:t>
      </w:r>
      <w:r w:rsidRPr="00325FB4">
        <w:rPr>
          <w:sz w:val="24"/>
          <w:szCs w:val="24"/>
        </w:rPr>
        <w:t xml:space="preserve">DOES NOT MAKE ANY WARRANTY OF ANY KIND WITH RESPECT TO FREEDOM FROM PATENT, TRADEMARK, OR COPYRIGHT INFRINGEMENT. </w:t>
      </w:r>
    </w:p>
    <w:p w14:paraId="1CB1EFB5" w14:textId="77777777" w:rsidR="00511F12" w:rsidRDefault="00511F12" w:rsidP="00511F12">
      <w:pPr>
        <w:rPr>
          <w:sz w:val="24"/>
          <w:szCs w:val="24"/>
        </w:rPr>
      </w:pPr>
    </w:p>
    <w:p w14:paraId="7145C014" w14:textId="77777777" w:rsidR="00511F12" w:rsidRPr="00325FB4" w:rsidRDefault="00511F12" w:rsidP="00511F12">
      <w:pPr>
        <w:rPr>
          <w:sz w:val="24"/>
          <w:szCs w:val="24"/>
        </w:rPr>
      </w:pPr>
      <w:r w:rsidRPr="00325FB4">
        <w:rPr>
          <w:sz w:val="24"/>
          <w:szCs w:val="24"/>
        </w:rPr>
        <w:t xml:space="preserve">Use of any trademarks in this report is not intended in any way to infringe on the rights of the trademark holder. </w:t>
      </w:r>
    </w:p>
    <w:p w14:paraId="1BE6AA7E" w14:textId="77777777" w:rsidR="00511F12" w:rsidRDefault="00511F12" w:rsidP="00511F12">
      <w:pPr>
        <w:rPr>
          <w:sz w:val="24"/>
          <w:szCs w:val="24"/>
        </w:rPr>
      </w:pPr>
    </w:p>
    <w:p w14:paraId="7B27548C" w14:textId="77777777" w:rsidR="00511F12" w:rsidRPr="00325FB4" w:rsidRDefault="00511F12" w:rsidP="00511F12">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2EE38894" w14:textId="77777777" w:rsidR="00511F12" w:rsidRDefault="00511F12" w:rsidP="00511F12">
      <w:pPr>
        <w:rPr>
          <w:sz w:val="24"/>
          <w:szCs w:val="24"/>
        </w:rPr>
      </w:pPr>
    </w:p>
    <w:p w14:paraId="69FB6A35" w14:textId="77777777" w:rsidR="00511F12" w:rsidRPr="00325FB4" w:rsidRDefault="00511F12" w:rsidP="00511F12">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w:t>
      </w:r>
      <w:r>
        <w:rPr>
          <w:sz w:val="24"/>
          <w:szCs w:val="24"/>
        </w:rPr>
        <w:t xml:space="preserve"> the author.</w:t>
      </w:r>
    </w:p>
    <w:p w14:paraId="5531173C" w14:textId="77777777" w:rsidR="00A9595C" w:rsidRPr="00325FB4" w:rsidRDefault="00A9595C" w:rsidP="00A9595C">
      <w:pPr>
        <w:pStyle w:val="Heading2"/>
        <w:spacing w:before="0"/>
        <w:rPr>
          <w:rFonts w:eastAsia="Arial"/>
          <w:b/>
          <w:sz w:val="32"/>
          <w:szCs w:val="32"/>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692BCE2D" w:rsidR="00D82BA3" w:rsidRPr="00325FB4" w:rsidRDefault="007712F4" w:rsidP="00D82BA3">
      <w:pPr>
        <w:rPr>
          <w:rFonts w:asciiTheme="minorHAnsi" w:eastAsia="Arial" w:hAnsiTheme="minorHAnsi"/>
          <w:b/>
          <w:bCs/>
          <w:sz w:val="24"/>
          <w:szCs w:val="22"/>
        </w:rPr>
      </w:pPr>
      <w:r>
        <w:rPr>
          <w:rFonts w:asciiTheme="minorHAnsi" w:eastAsia="Arial" w:hAnsiTheme="minorHAnsi"/>
          <w:b/>
          <w:bCs/>
          <w:sz w:val="24"/>
          <w:szCs w:val="22"/>
        </w:rPr>
        <w:lastRenderedPageBreak/>
        <w:t>FAA ERAM Outage</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B65D22">
      <w:pPr>
        <w:pStyle w:val="Heading3"/>
        <w:spacing w:before="0"/>
        <w:ind w:left="-4"/>
        <w:rPr>
          <w:b/>
          <w:bCs/>
        </w:rPr>
      </w:pPr>
      <w:r>
        <w:rPr>
          <w:b/>
          <w:bCs/>
        </w:rPr>
        <w:t>Background</w:t>
      </w:r>
    </w:p>
    <w:p w14:paraId="2A9BEC95" w14:textId="0107C0C7" w:rsidR="00D31A2D" w:rsidRDefault="00D31A2D" w:rsidP="00B65D22">
      <w:pPr>
        <w:ind w:right="32"/>
        <w:jc w:val="both"/>
        <w:rPr>
          <w:sz w:val="24"/>
          <w:szCs w:val="24"/>
        </w:rPr>
      </w:pPr>
      <w:r>
        <w:rPr>
          <w:sz w:val="24"/>
          <w:szCs w:val="24"/>
        </w:rPr>
        <w:t>Air traffic control in the United states is a major undertaking, comprising over 600,000 licensed pilots, more than 2,500 flights at any given moment, which may merely enter US air space or arrive and depart from one of the US’ 19,000 active airports. Nearly 600 air traffic control centers supervise regular air traffic procedures using what is known as the National Airspace System (NAS).</w:t>
      </w:r>
    </w:p>
    <w:p w14:paraId="4AB66C9C" w14:textId="180104C9" w:rsidR="00D31A2D" w:rsidRDefault="00D31A2D" w:rsidP="005000BF">
      <w:pPr>
        <w:spacing w:after="225"/>
        <w:ind w:right="32"/>
        <w:jc w:val="both"/>
        <w:rPr>
          <w:sz w:val="24"/>
          <w:szCs w:val="24"/>
        </w:rPr>
      </w:pPr>
      <w:r>
        <w:rPr>
          <w:sz w:val="24"/>
          <w:szCs w:val="24"/>
        </w:rPr>
        <w:t xml:space="preserve">To optimize NAS functionality, a paper-based legacy system was replaced in a tiered process between 2006 and 2009 with ERAM – </w:t>
      </w:r>
      <w:proofErr w:type="spellStart"/>
      <w:r>
        <w:rPr>
          <w:sz w:val="24"/>
          <w:szCs w:val="24"/>
        </w:rPr>
        <w:t>En</w:t>
      </w:r>
      <w:proofErr w:type="spellEnd"/>
      <w:r>
        <w:rPr>
          <w:sz w:val="24"/>
          <w:szCs w:val="24"/>
        </w:rPr>
        <w:t xml:space="preserve"> Route Automation Modernization, a system developed by Lockheed Martin to provide </w:t>
      </w:r>
      <w:r w:rsidR="00835DCB">
        <w:rPr>
          <w:sz w:val="24"/>
          <w:szCs w:val="24"/>
        </w:rPr>
        <w:t>“fast processing of route requests and flight route changes.”</w:t>
      </w:r>
    </w:p>
    <w:p w14:paraId="4A9DA336" w14:textId="0A57B7B6" w:rsidR="006D461D" w:rsidRPr="00B65D22" w:rsidRDefault="006D461D" w:rsidP="00B65D22">
      <w:pPr>
        <w:pStyle w:val="Heading3"/>
        <w:rPr>
          <w:b/>
          <w:bCs/>
        </w:rPr>
      </w:pPr>
      <w:r w:rsidRPr="00B65D22">
        <w:rPr>
          <w:b/>
          <w:bCs/>
        </w:rPr>
        <w:t>Case</w:t>
      </w:r>
      <w:r w:rsidR="00A6150B" w:rsidRPr="00B65D22">
        <w:rPr>
          <w:b/>
          <w:bCs/>
        </w:rPr>
        <w:t xml:space="preserve"> Study Overview</w:t>
      </w:r>
    </w:p>
    <w:p w14:paraId="2F1EB4CA" w14:textId="6F158908" w:rsidR="00134E85" w:rsidRDefault="00134E85" w:rsidP="000F1DD8">
      <w:pPr>
        <w:pStyle w:val="NoSpacing"/>
        <w:jc w:val="both"/>
        <w:rPr>
          <w:rFonts w:eastAsia="Arial"/>
          <w:sz w:val="24"/>
          <w:szCs w:val="24"/>
        </w:rPr>
      </w:pPr>
      <w:r>
        <w:rPr>
          <w:rFonts w:eastAsia="Arial"/>
          <w:sz w:val="24"/>
          <w:szCs w:val="24"/>
        </w:rPr>
        <w:t>In 2014, a military surveillance aircraft filed a flight plan that exceeded the complexity of typical flight plans of passenger and hobby aircraft and did not contain a cruise altitude. After an air traffic controller manually entered an altitude of 60,000 – the typical altitude of surveillance aircraft – ERAM began to search for possible routes across all possible flight levels that do not conflict with other filed flight plans. Albeit details on the search algorithm remain unavailable to the public, the search soon exceeded available computer memory, causing ERAM to continually restart and retry the search.</w:t>
      </w:r>
    </w:p>
    <w:p w14:paraId="55AC7B23" w14:textId="56B7BCA2" w:rsidR="00134E85" w:rsidRDefault="00134E85" w:rsidP="000F1DD8">
      <w:pPr>
        <w:pStyle w:val="NoSpacing"/>
        <w:jc w:val="both"/>
        <w:rPr>
          <w:rFonts w:eastAsia="Arial"/>
          <w:sz w:val="24"/>
          <w:szCs w:val="24"/>
        </w:rPr>
      </w:pPr>
    </w:p>
    <w:p w14:paraId="61CC7B13" w14:textId="79919B84" w:rsidR="00134E85" w:rsidRDefault="00FE33C1" w:rsidP="000F1DD8">
      <w:pPr>
        <w:pStyle w:val="NoSpacing"/>
        <w:jc w:val="both"/>
        <w:rPr>
          <w:rFonts w:eastAsia="Arial"/>
          <w:sz w:val="24"/>
          <w:szCs w:val="24"/>
        </w:rPr>
      </w:pPr>
      <w:r>
        <w:rPr>
          <w:rFonts w:eastAsia="Arial"/>
          <w:sz w:val="24"/>
          <w:szCs w:val="24"/>
        </w:rPr>
        <w:t>While this issue is primarily related to Software Testing, this case example brought up immediate concerns about security vulnerabilities, as evidently manually entering a single value could cause the system to fail repeatedly.</w:t>
      </w:r>
    </w:p>
    <w:p w14:paraId="1C5F2DE1" w14:textId="77777777" w:rsidR="00A6150B" w:rsidRDefault="00A6150B" w:rsidP="00A6150B">
      <w:pPr>
        <w:pStyle w:val="NoSpacing"/>
        <w:rPr>
          <w:rFonts w:eastAsia="Arial"/>
          <w:sz w:val="24"/>
          <w:szCs w:val="24"/>
        </w:rPr>
      </w:pPr>
    </w:p>
    <w:p w14:paraId="7CAA84F1" w14:textId="7EAC341D" w:rsidR="00A6150B" w:rsidRDefault="00A6150B" w:rsidP="00E0649D">
      <w:pPr>
        <w:pStyle w:val="Heading3"/>
        <w:rPr>
          <w:rFonts w:eastAsia="Arial"/>
          <w:b/>
          <w:bCs/>
        </w:rPr>
      </w:pPr>
      <w:r w:rsidRPr="00E0649D">
        <w:rPr>
          <w:rFonts w:eastAsia="Arial"/>
          <w:b/>
          <w:bCs/>
        </w:rPr>
        <w:t>Student Instructions</w:t>
      </w:r>
    </w:p>
    <w:p w14:paraId="4B774998" w14:textId="11A36312" w:rsidR="00FE33C1" w:rsidRDefault="00FE33C1" w:rsidP="002E2E69">
      <w:pPr>
        <w:pStyle w:val="NoSpacing"/>
        <w:rPr>
          <w:rFonts w:eastAsia="Arial"/>
          <w:sz w:val="24"/>
          <w:szCs w:val="24"/>
        </w:rPr>
      </w:pPr>
      <w:r>
        <w:rPr>
          <w:rFonts w:eastAsia="Arial"/>
          <w:sz w:val="24"/>
          <w:szCs w:val="24"/>
        </w:rPr>
        <w:t xml:space="preserve">This case study investigates the relationship between Software Testing and Cybersecurity Governance. </w:t>
      </w:r>
    </w:p>
    <w:p w14:paraId="1467A3BC" w14:textId="3AD56BCB" w:rsidR="00FE33C1" w:rsidRDefault="00FE33C1" w:rsidP="00FE33C1">
      <w:pPr>
        <w:pStyle w:val="NoSpacing"/>
        <w:numPr>
          <w:ilvl w:val="0"/>
          <w:numId w:val="34"/>
        </w:numPr>
        <w:rPr>
          <w:rFonts w:eastAsia="Arial"/>
          <w:sz w:val="24"/>
          <w:szCs w:val="24"/>
        </w:rPr>
      </w:pPr>
      <w:r>
        <w:rPr>
          <w:rFonts w:eastAsia="Arial"/>
          <w:sz w:val="24"/>
          <w:szCs w:val="24"/>
        </w:rPr>
        <w:t xml:space="preserve">Explain the relationship of Software Testing and the failure experienced during the ERAM outage. You may want to research </w:t>
      </w:r>
      <w:r w:rsidR="00AF3A1F">
        <w:rPr>
          <w:rFonts w:eastAsia="Arial"/>
          <w:sz w:val="24"/>
          <w:szCs w:val="24"/>
        </w:rPr>
        <w:t>“equivalence class testing” or “</w:t>
      </w:r>
      <w:proofErr w:type="gramStart"/>
      <w:r w:rsidR="00AF3A1F">
        <w:rPr>
          <w:rFonts w:eastAsia="Arial"/>
          <w:sz w:val="24"/>
          <w:szCs w:val="24"/>
        </w:rPr>
        <w:t>specification based</w:t>
      </w:r>
      <w:proofErr w:type="gramEnd"/>
      <w:r w:rsidR="00AF3A1F">
        <w:rPr>
          <w:rFonts w:eastAsia="Arial"/>
          <w:sz w:val="24"/>
          <w:szCs w:val="24"/>
        </w:rPr>
        <w:t xml:space="preserve"> testing techniques”. </w:t>
      </w:r>
      <w:r w:rsidR="001E1A0F">
        <w:rPr>
          <w:rFonts w:eastAsia="Arial"/>
          <w:sz w:val="24"/>
          <w:szCs w:val="24"/>
        </w:rPr>
        <w:t xml:space="preserve">Explain the purpose of equivalence class testing, the procedure, and demonstrate how it could have prevented this </w:t>
      </w:r>
      <w:proofErr w:type="gramStart"/>
      <w:r w:rsidR="001E1A0F">
        <w:rPr>
          <w:rFonts w:eastAsia="Arial"/>
          <w:sz w:val="24"/>
          <w:szCs w:val="24"/>
        </w:rPr>
        <w:t>particular failure</w:t>
      </w:r>
      <w:proofErr w:type="gramEnd"/>
      <w:r w:rsidR="001E1A0F">
        <w:rPr>
          <w:rFonts w:eastAsia="Arial"/>
          <w:sz w:val="24"/>
          <w:szCs w:val="24"/>
        </w:rPr>
        <w:t>.</w:t>
      </w:r>
    </w:p>
    <w:p w14:paraId="2ED47450" w14:textId="30C25264" w:rsidR="002E2E69" w:rsidRDefault="00FE33C1" w:rsidP="00FE33C1">
      <w:pPr>
        <w:pStyle w:val="NoSpacing"/>
        <w:numPr>
          <w:ilvl w:val="0"/>
          <w:numId w:val="34"/>
        </w:numPr>
        <w:rPr>
          <w:rFonts w:eastAsia="Arial"/>
          <w:sz w:val="24"/>
          <w:szCs w:val="24"/>
        </w:rPr>
      </w:pPr>
      <w:r>
        <w:rPr>
          <w:rFonts w:eastAsia="Arial"/>
          <w:sz w:val="24"/>
          <w:szCs w:val="24"/>
        </w:rPr>
        <w:t xml:space="preserve">Investigate official DoT, FAA, and GOA reports and </w:t>
      </w:r>
      <w:r w:rsidR="001E1A0F">
        <w:rPr>
          <w:rFonts w:eastAsia="Arial"/>
          <w:sz w:val="24"/>
          <w:szCs w:val="24"/>
        </w:rPr>
        <w:t xml:space="preserve">determine failures in cybersecurity governance. Describe the security vulnerabilities found in the ERAM case example, organizational structures that led to them, and recommended actions to mitigate them. </w:t>
      </w:r>
    </w:p>
    <w:p w14:paraId="25A016C8" w14:textId="18CC32C3" w:rsidR="00A6150B" w:rsidRDefault="00A6150B" w:rsidP="00A6150B">
      <w:pPr>
        <w:pStyle w:val="NoSpacing"/>
        <w:rPr>
          <w:rFonts w:eastAsia="Arial"/>
          <w:sz w:val="24"/>
          <w:szCs w:val="24"/>
        </w:rPr>
      </w:pPr>
    </w:p>
    <w:p w14:paraId="44E8138A" w14:textId="77777777" w:rsidR="00550D22" w:rsidRDefault="00550D22">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5F0B9FC1" w14:textId="77777777" w:rsidR="00E20AF7" w:rsidRDefault="00E20AF7" w:rsidP="00E20AF7">
      <w:pPr>
        <w:pStyle w:val="NoSpacing"/>
        <w:jc w:val="both"/>
        <w:rPr>
          <w:rFonts w:eastAsia="Arial"/>
          <w:sz w:val="24"/>
          <w:szCs w:val="24"/>
        </w:rPr>
      </w:pPr>
      <w:r>
        <w:rPr>
          <w:rFonts w:eastAsia="Arial"/>
          <w:sz w:val="24"/>
          <w:szCs w:val="24"/>
        </w:rPr>
        <w:t xml:space="preserve">This case study may be assigned as an individual or team exercise, either in synchronous or asynchronous educational settings. A proven strategy is “Think-Pair-Share”: use a similar </w:t>
      </w:r>
      <w:proofErr w:type="spellStart"/>
      <w:r>
        <w:rPr>
          <w:rFonts w:eastAsia="Arial"/>
          <w:sz w:val="24"/>
          <w:szCs w:val="24"/>
        </w:rPr>
        <w:t>CyBOK</w:t>
      </w:r>
      <w:proofErr w:type="spellEnd"/>
      <w:r>
        <w:rPr>
          <w:rFonts w:eastAsia="Arial"/>
          <w:sz w:val="24"/>
          <w:szCs w:val="24"/>
        </w:rPr>
        <w:t xml:space="preserve"> case study (Wilson et al. 2018) to discuss </w:t>
      </w:r>
      <w:proofErr w:type="spellStart"/>
      <w:r>
        <w:rPr>
          <w:rFonts w:eastAsia="Arial"/>
          <w:sz w:val="24"/>
          <w:szCs w:val="24"/>
        </w:rPr>
        <w:t>CyBOK</w:t>
      </w:r>
      <w:proofErr w:type="spellEnd"/>
      <w:r>
        <w:rPr>
          <w:rFonts w:eastAsia="Arial"/>
          <w:sz w:val="24"/>
          <w:szCs w:val="24"/>
        </w:rPr>
        <w:t xml:space="preserve"> KAs in class, then group learners into small teams of 2-3 and ask them to solve this assignment. Then, in a following class meeting, have teams present results and discuss implications.</w:t>
      </w:r>
    </w:p>
    <w:p w14:paraId="4F2C30F1" w14:textId="6D5E6A3C" w:rsidR="002158FC" w:rsidRDefault="002158FC" w:rsidP="00A6150B">
      <w:pPr>
        <w:pStyle w:val="NoSpacing"/>
        <w:rPr>
          <w:rFonts w:eastAsia="Arial"/>
          <w:sz w:val="24"/>
          <w:szCs w:val="24"/>
        </w:rPr>
      </w:pPr>
    </w:p>
    <w:p w14:paraId="26CF4963" w14:textId="21D5D78D" w:rsidR="00E20AF7" w:rsidRDefault="002158FC" w:rsidP="002158FC">
      <w:pPr>
        <w:pStyle w:val="NoSpacing"/>
        <w:jc w:val="both"/>
        <w:rPr>
          <w:rFonts w:eastAsia="Arial"/>
          <w:sz w:val="24"/>
          <w:szCs w:val="24"/>
        </w:rPr>
      </w:pPr>
      <w:r>
        <w:rPr>
          <w:rFonts w:eastAsia="Arial"/>
          <w:sz w:val="24"/>
          <w:szCs w:val="24"/>
        </w:rPr>
        <w:t xml:space="preserve">Since </w:t>
      </w:r>
      <w:r w:rsidR="00E20AF7">
        <w:rPr>
          <w:rFonts w:eastAsia="Arial"/>
          <w:sz w:val="24"/>
          <w:szCs w:val="24"/>
        </w:rPr>
        <w:t xml:space="preserve">this </w:t>
      </w:r>
      <w:r>
        <w:rPr>
          <w:rFonts w:eastAsia="Arial"/>
          <w:sz w:val="24"/>
          <w:szCs w:val="24"/>
        </w:rPr>
        <w:t xml:space="preserve">case study </w:t>
      </w:r>
      <w:r w:rsidR="00E20AF7">
        <w:rPr>
          <w:rFonts w:eastAsia="Arial"/>
          <w:sz w:val="24"/>
          <w:szCs w:val="24"/>
        </w:rPr>
        <w:t xml:space="preserve">represents a concrete example of mismanaged software acquisition, it is a </w:t>
      </w:r>
      <w:r w:rsidR="00A12588">
        <w:rPr>
          <w:rFonts w:eastAsia="Arial"/>
          <w:sz w:val="24"/>
          <w:szCs w:val="24"/>
        </w:rPr>
        <w:t>rich resource</w:t>
      </w:r>
      <w:r w:rsidR="00E20AF7">
        <w:rPr>
          <w:rFonts w:eastAsia="Arial"/>
          <w:sz w:val="24"/>
          <w:szCs w:val="24"/>
        </w:rPr>
        <w:t xml:space="preserve"> that allows investigating supple chain risk management and cybersecurity in a broad manner. For this purpose, the above tasks are kept rather specific to give students a narrow scope in which to apply theoretical knowledge in supply chain risk management and cybersecurity that should be introduced to them in a structured fashion before assigning this case study. </w:t>
      </w:r>
    </w:p>
    <w:p w14:paraId="23BB03DB" w14:textId="588FB4E9" w:rsidR="00A12588" w:rsidRDefault="00A12588" w:rsidP="002158FC">
      <w:pPr>
        <w:pStyle w:val="NoSpacing"/>
        <w:jc w:val="both"/>
        <w:rPr>
          <w:rFonts w:eastAsia="Arial"/>
          <w:sz w:val="24"/>
          <w:szCs w:val="24"/>
        </w:rPr>
      </w:pPr>
    </w:p>
    <w:p w14:paraId="25FB6D23" w14:textId="3C7F00F4" w:rsidR="00E20AF7" w:rsidRDefault="00A12588" w:rsidP="002158FC">
      <w:pPr>
        <w:pStyle w:val="NoSpacing"/>
        <w:jc w:val="both"/>
        <w:rPr>
          <w:rFonts w:eastAsia="Arial"/>
          <w:sz w:val="24"/>
          <w:szCs w:val="24"/>
        </w:rPr>
      </w:pPr>
      <w:r>
        <w:rPr>
          <w:rFonts w:eastAsia="Arial"/>
          <w:sz w:val="24"/>
          <w:szCs w:val="24"/>
        </w:rPr>
        <w:t xml:space="preserve">Students should be encouraged to learn as much as they can about this case example to absorb the perils of improper supply chain risk management and cybersecurity incident response by means of a real-world project. </w:t>
      </w:r>
      <w:r w:rsidR="00E20AF7">
        <w:rPr>
          <w:rFonts w:eastAsia="Arial"/>
          <w:sz w:val="24"/>
          <w:szCs w:val="24"/>
        </w:rPr>
        <w:t>The formative task of related Software Testing aspects is intended to apply knowledge students may have from Software Verification knowledge areas of other curriculums, such as ACM CC 2020.</w:t>
      </w:r>
    </w:p>
    <w:p w14:paraId="2BB15624" w14:textId="77777777" w:rsidR="00001078" w:rsidRDefault="00001078" w:rsidP="00A6150B">
      <w:pPr>
        <w:pStyle w:val="NoSpacing"/>
        <w:rPr>
          <w:rFonts w:eastAsia="Arial"/>
          <w:sz w:val="24"/>
          <w:szCs w:val="24"/>
        </w:rPr>
      </w:pPr>
    </w:p>
    <w:p w14:paraId="18E5F640" w14:textId="0F1C44B6" w:rsidR="00001078" w:rsidRPr="00550D22" w:rsidRDefault="00001078" w:rsidP="00550D22">
      <w:pPr>
        <w:pStyle w:val="Heading3"/>
        <w:rPr>
          <w:rFonts w:eastAsia="Arial"/>
          <w:b/>
          <w:bCs/>
        </w:rPr>
      </w:pPr>
      <w:r w:rsidRPr="00550D22">
        <w:rPr>
          <w:rFonts w:eastAsia="Arial"/>
          <w:b/>
          <w:bCs/>
        </w:rPr>
        <w:t xml:space="preserve">Example solution </w:t>
      </w:r>
    </w:p>
    <w:p w14:paraId="56105307" w14:textId="77777777" w:rsidR="00E20AF7" w:rsidRDefault="00E20AF7" w:rsidP="00E20AF7">
      <w:pPr>
        <w:pStyle w:val="NoSpacing"/>
        <w:numPr>
          <w:ilvl w:val="0"/>
          <w:numId w:val="35"/>
        </w:numPr>
        <w:rPr>
          <w:rFonts w:eastAsia="Arial"/>
          <w:sz w:val="24"/>
          <w:szCs w:val="24"/>
        </w:rPr>
      </w:pPr>
      <w:r>
        <w:rPr>
          <w:rFonts w:eastAsia="Arial"/>
          <w:sz w:val="24"/>
          <w:szCs w:val="24"/>
        </w:rPr>
        <w:t xml:space="preserve">Explain the relationship of Software Testing and the failure experienced during the ERAM outage. </w:t>
      </w:r>
    </w:p>
    <w:p w14:paraId="6E71197F" w14:textId="7F2D0D43" w:rsidR="00E20AF7" w:rsidRDefault="00E20AF7" w:rsidP="00E20AF7">
      <w:pPr>
        <w:pStyle w:val="NoSpacing"/>
        <w:numPr>
          <w:ilvl w:val="1"/>
          <w:numId w:val="35"/>
        </w:numPr>
        <w:rPr>
          <w:rFonts w:eastAsia="Arial"/>
          <w:sz w:val="24"/>
          <w:szCs w:val="24"/>
        </w:rPr>
      </w:pPr>
      <w:r>
        <w:rPr>
          <w:rFonts w:eastAsia="Arial"/>
          <w:sz w:val="24"/>
          <w:szCs w:val="24"/>
        </w:rPr>
        <w:t>Specification based testing means testing a software based on required inputs and guaranteed outputs specified in some type of reference document (e.g., documentation, requirements)</w:t>
      </w:r>
    </w:p>
    <w:p w14:paraId="7E62C051" w14:textId="2C4BB9BD" w:rsidR="00E20AF7" w:rsidRDefault="00E20AF7" w:rsidP="00E20AF7">
      <w:pPr>
        <w:pStyle w:val="NoSpacing"/>
        <w:numPr>
          <w:ilvl w:val="1"/>
          <w:numId w:val="35"/>
        </w:numPr>
        <w:rPr>
          <w:rFonts w:eastAsia="Arial"/>
          <w:sz w:val="24"/>
          <w:szCs w:val="24"/>
        </w:rPr>
      </w:pPr>
      <w:r>
        <w:rPr>
          <w:rFonts w:eastAsia="Arial"/>
          <w:sz w:val="24"/>
          <w:szCs w:val="24"/>
        </w:rPr>
        <w:t xml:space="preserve">Equivalence class-based testing is an example of a specification-based testing technique, where rather than executing every possible combination of input </w:t>
      </w:r>
      <w:proofErr w:type="gramStart"/>
      <w:r>
        <w:rPr>
          <w:rFonts w:eastAsia="Arial"/>
          <w:sz w:val="24"/>
          <w:szCs w:val="24"/>
        </w:rPr>
        <w:t>parameters</w:t>
      </w:r>
      <w:proofErr w:type="gramEnd"/>
      <w:r>
        <w:rPr>
          <w:rFonts w:eastAsia="Arial"/>
          <w:sz w:val="24"/>
          <w:szCs w:val="24"/>
        </w:rPr>
        <w:t>, representatives are picked from intervals possible input ranges, allowed by the specification.</w:t>
      </w:r>
    </w:p>
    <w:p w14:paraId="38415DF0" w14:textId="64344089" w:rsidR="00E20AF7" w:rsidRDefault="00E20AF7" w:rsidP="00E20AF7">
      <w:pPr>
        <w:pStyle w:val="NoSpacing"/>
        <w:numPr>
          <w:ilvl w:val="1"/>
          <w:numId w:val="35"/>
        </w:numPr>
        <w:rPr>
          <w:rFonts w:eastAsia="Arial"/>
          <w:sz w:val="24"/>
          <w:szCs w:val="24"/>
        </w:rPr>
      </w:pPr>
      <w:r>
        <w:rPr>
          <w:rFonts w:eastAsia="Arial"/>
          <w:sz w:val="24"/>
          <w:szCs w:val="24"/>
        </w:rPr>
        <w:t>Units are executed with these representatives as example inputs and the unit outputs are compared to what the specification prescribes.</w:t>
      </w:r>
    </w:p>
    <w:p w14:paraId="439CBC82" w14:textId="0785A722" w:rsidR="00E20AF7" w:rsidRDefault="00E20AF7" w:rsidP="00E20AF7">
      <w:pPr>
        <w:pStyle w:val="NoSpacing"/>
        <w:numPr>
          <w:ilvl w:val="1"/>
          <w:numId w:val="35"/>
        </w:numPr>
        <w:rPr>
          <w:rFonts w:eastAsia="Arial"/>
          <w:sz w:val="24"/>
          <w:szCs w:val="24"/>
        </w:rPr>
      </w:pPr>
      <w:r>
        <w:rPr>
          <w:rFonts w:eastAsia="Arial"/>
          <w:sz w:val="24"/>
          <w:szCs w:val="24"/>
        </w:rPr>
        <w:t xml:space="preserve">In this case, the “altitude” </w:t>
      </w:r>
      <w:r w:rsidR="00793D52">
        <w:rPr>
          <w:rFonts w:eastAsia="Arial"/>
          <w:sz w:val="24"/>
          <w:szCs w:val="24"/>
        </w:rPr>
        <w:t>parameter during manual entry should have been tested against typical, extreme, and impossible values (e.g., “18,576”, “95,001”, and “-500,000”, respectively) in a manner compatible with boundary value analysis to ascertain proper behavior.</w:t>
      </w:r>
    </w:p>
    <w:p w14:paraId="03EC0870" w14:textId="12C9C60D" w:rsidR="00E20AF7" w:rsidRDefault="00E20AF7" w:rsidP="00E20AF7">
      <w:pPr>
        <w:pStyle w:val="NoSpacing"/>
        <w:numPr>
          <w:ilvl w:val="0"/>
          <w:numId w:val="35"/>
        </w:numPr>
        <w:rPr>
          <w:rFonts w:eastAsia="Arial"/>
          <w:sz w:val="24"/>
          <w:szCs w:val="24"/>
        </w:rPr>
      </w:pPr>
      <w:r>
        <w:rPr>
          <w:rFonts w:eastAsia="Arial"/>
          <w:sz w:val="24"/>
          <w:szCs w:val="24"/>
        </w:rPr>
        <w:t xml:space="preserve">Investigate official DoT, FAA, and GOA reports and determine failures in cybersecurity governance. </w:t>
      </w:r>
    </w:p>
    <w:p w14:paraId="61BF93D2" w14:textId="3A394613" w:rsidR="00793D52" w:rsidRDefault="00793D52" w:rsidP="00793D52">
      <w:pPr>
        <w:pStyle w:val="NoSpacing"/>
        <w:numPr>
          <w:ilvl w:val="1"/>
          <w:numId w:val="35"/>
        </w:numPr>
        <w:rPr>
          <w:rFonts w:eastAsia="Arial"/>
          <w:sz w:val="24"/>
          <w:szCs w:val="24"/>
        </w:rPr>
      </w:pPr>
      <w:r>
        <w:rPr>
          <w:rFonts w:eastAsia="Arial"/>
          <w:sz w:val="24"/>
          <w:szCs w:val="24"/>
        </w:rPr>
        <w:t xml:space="preserve">The GOA report lists quite clearly the </w:t>
      </w:r>
      <w:r w:rsidR="00054564">
        <w:rPr>
          <w:rFonts w:eastAsia="Arial"/>
          <w:sz w:val="24"/>
          <w:szCs w:val="24"/>
        </w:rPr>
        <w:t xml:space="preserve">key issue was unclear roles in incident response, lack of roles and responsibilities </w:t>
      </w:r>
      <w:proofErr w:type="spellStart"/>
      <w:r w:rsidR="00054564">
        <w:rPr>
          <w:rFonts w:eastAsia="Arial"/>
          <w:sz w:val="24"/>
          <w:szCs w:val="24"/>
        </w:rPr>
        <w:t>wrt</w:t>
      </w:r>
      <w:proofErr w:type="spellEnd"/>
      <w:r w:rsidR="00054564">
        <w:rPr>
          <w:rFonts w:eastAsia="Arial"/>
          <w:sz w:val="24"/>
          <w:szCs w:val="24"/>
        </w:rPr>
        <w:t xml:space="preserve">. security incidents, and unclear incident response procedures along with lack of </w:t>
      </w:r>
      <w:r w:rsidR="00686D3C">
        <w:rPr>
          <w:rFonts w:eastAsia="Arial"/>
          <w:sz w:val="24"/>
          <w:szCs w:val="24"/>
        </w:rPr>
        <w:t xml:space="preserve">role-appropriate </w:t>
      </w:r>
      <w:r w:rsidR="00054564">
        <w:rPr>
          <w:rFonts w:eastAsia="Arial"/>
          <w:sz w:val="24"/>
          <w:szCs w:val="24"/>
        </w:rPr>
        <w:t xml:space="preserve">training for the </w:t>
      </w:r>
      <w:r w:rsidR="00686D3C">
        <w:rPr>
          <w:rFonts w:eastAsia="Arial"/>
          <w:sz w:val="24"/>
          <w:szCs w:val="24"/>
        </w:rPr>
        <w:t xml:space="preserve">involved </w:t>
      </w:r>
      <w:r w:rsidR="00054564">
        <w:rPr>
          <w:rFonts w:eastAsia="Arial"/>
          <w:sz w:val="24"/>
          <w:szCs w:val="24"/>
        </w:rPr>
        <w:t>officers.</w:t>
      </w: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059E2A53" w14:textId="2BE9A505" w:rsidR="00D31A2D" w:rsidRDefault="00D31A2D" w:rsidP="00A6150B">
      <w:pPr>
        <w:pStyle w:val="NoSpacing"/>
        <w:rPr>
          <w:rFonts w:eastAsia="Arial"/>
          <w:sz w:val="24"/>
          <w:szCs w:val="24"/>
        </w:rPr>
      </w:pPr>
      <w:r>
        <w:rPr>
          <w:rFonts w:eastAsia="Arial"/>
          <w:sz w:val="24"/>
          <w:szCs w:val="24"/>
        </w:rPr>
        <w:t xml:space="preserve">Wikipedia: “ERAM”, online resource available at: </w:t>
      </w:r>
      <w:hyperlink r:id="rId8" w:history="1">
        <w:r w:rsidRPr="00CE11F0">
          <w:rPr>
            <w:rStyle w:val="Hyperlink"/>
            <w:rFonts w:eastAsia="Arial"/>
            <w:sz w:val="24"/>
            <w:szCs w:val="24"/>
          </w:rPr>
          <w:t>https://en.wikipedia.org/wiki/ERAM</w:t>
        </w:r>
      </w:hyperlink>
      <w:r>
        <w:rPr>
          <w:rFonts w:eastAsia="Arial"/>
          <w:sz w:val="24"/>
          <w:szCs w:val="24"/>
        </w:rPr>
        <w:t>, accessed 30</w:t>
      </w:r>
      <w:r w:rsidR="00FE33C1">
        <w:rPr>
          <w:rFonts w:eastAsia="Arial"/>
          <w:sz w:val="24"/>
          <w:szCs w:val="24"/>
        </w:rPr>
        <w:t xml:space="preserve"> Mar</w:t>
      </w:r>
      <w:r>
        <w:rPr>
          <w:rFonts w:eastAsia="Arial"/>
          <w:sz w:val="24"/>
          <w:szCs w:val="24"/>
        </w:rPr>
        <w:t xml:space="preserve"> 2021.</w:t>
      </w:r>
    </w:p>
    <w:p w14:paraId="330E3EA3" w14:textId="370180EE" w:rsidR="00D31A2D" w:rsidRDefault="00D31A2D" w:rsidP="00A6150B">
      <w:pPr>
        <w:pStyle w:val="NoSpacing"/>
        <w:rPr>
          <w:rFonts w:eastAsia="Arial"/>
          <w:sz w:val="24"/>
          <w:szCs w:val="24"/>
        </w:rPr>
      </w:pPr>
    </w:p>
    <w:p w14:paraId="6721D2E1" w14:textId="1FCA6841" w:rsidR="00001078" w:rsidRDefault="00C14301" w:rsidP="00A6150B">
      <w:pPr>
        <w:pStyle w:val="NoSpacing"/>
        <w:rPr>
          <w:rFonts w:eastAsia="Arial"/>
          <w:sz w:val="24"/>
          <w:szCs w:val="24"/>
        </w:rPr>
      </w:pPr>
      <w:r>
        <w:rPr>
          <w:rFonts w:eastAsia="Arial"/>
          <w:sz w:val="24"/>
          <w:szCs w:val="24"/>
        </w:rPr>
        <w:t>Scott</w:t>
      </w:r>
      <w:r w:rsidR="00FD0A85" w:rsidRPr="00FD0A85">
        <w:rPr>
          <w:rFonts w:eastAsia="Arial"/>
          <w:sz w:val="24"/>
          <w:szCs w:val="24"/>
        </w:rPr>
        <w:t xml:space="preserve">, </w:t>
      </w:r>
      <w:r>
        <w:rPr>
          <w:rFonts w:eastAsia="Arial"/>
          <w:sz w:val="24"/>
          <w:szCs w:val="24"/>
        </w:rPr>
        <w:t xml:space="preserve">A.; </w:t>
      </w:r>
      <w:proofErr w:type="spellStart"/>
      <w:r>
        <w:rPr>
          <w:rFonts w:eastAsia="Arial"/>
          <w:sz w:val="24"/>
          <w:szCs w:val="24"/>
        </w:rPr>
        <w:t>Menn</w:t>
      </w:r>
      <w:proofErr w:type="spellEnd"/>
      <w:r>
        <w:rPr>
          <w:rFonts w:eastAsia="Arial"/>
          <w:sz w:val="24"/>
          <w:szCs w:val="24"/>
        </w:rPr>
        <w:t>, J</w:t>
      </w:r>
      <w:r w:rsidR="00FD0A85" w:rsidRPr="00FD0A85">
        <w:rPr>
          <w:rFonts w:eastAsia="Arial"/>
          <w:sz w:val="24"/>
          <w:szCs w:val="24"/>
        </w:rPr>
        <w:t>.: “</w:t>
      </w:r>
      <w:r>
        <w:rPr>
          <w:rFonts w:eastAsia="Arial"/>
          <w:sz w:val="24"/>
          <w:szCs w:val="24"/>
        </w:rPr>
        <w:t>Exclusive: Air traffic system failure caused by computer memory shortage</w:t>
      </w:r>
      <w:r w:rsidR="00FD0A85">
        <w:rPr>
          <w:rFonts w:eastAsia="Arial"/>
          <w:sz w:val="24"/>
          <w:szCs w:val="24"/>
        </w:rPr>
        <w:t>,” online resource available at:</w:t>
      </w:r>
      <w:r w:rsidRPr="00C14301">
        <w:t xml:space="preserve"> </w:t>
      </w:r>
      <w:hyperlink r:id="rId9" w:history="1">
        <w:r w:rsidRPr="00CE11F0">
          <w:rPr>
            <w:rStyle w:val="Hyperlink"/>
            <w:rFonts w:eastAsia="Arial"/>
            <w:sz w:val="24"/>
            <w:szCs w:val="24"/>
          </w:rPr>
          <w:t>https://www.reuters.com/article/us-airtraffic-bug-exclusive/exclusive-air-traffic-system-failure-caused-by-computer-memory-shortage-idUSBREA4B02320140512</w:t>
        </w:r>
      </w:hyperlink>
      <w:r w:rsidR="00FD0A85">
        <w:rPr>
          <w:rFonts w:eastAsia="Arial"/>
          <w:sz w:val="24"/>
          <w:szCs w:val="24"/>
        </w:rPr>
        <w:t>, 201</w:t>
      </w:r>
      <w:r>
        <w:rPr>
          <w:rFonts w:eastAsia="Arial"/>
          <w:sz w:val="24"/>
          <w:szCs w:val="24"/>
        </w:rPr>
        <w:t>4</w:t>
      </w:r>
      <w:r w:rsidR="00FD0A85">
        <w:rPr>
          <w:rFonts w:eastAsia="Arial"/>
          <w:sz w:val="24"/>
          <w:szCs w:val="24"/>
        </w:rPr>
        <w:t xml:space="preserve">. Accessed </w:t>
      </w:r>
      <w:r>
        <w:rPr>
          <w:rFonts w:eastAsia="Arial"/>
          <w:sz w:val="24"/>
          <w:szCs w:val="24"/>
        </w:rPr>
        <w:t>14</w:t>
      </w:r>
      <w:r w:rsidR="00FD0A85">
        <w:rPr>
          <w:rFonts w:eastAsia="Arial"/>
          <w:sz w:val="24"/>
          <w:szCs w:val="24"/>
        </w:rPr>
        <w:t xml:space="preserve"> </w:t>
      </w:r>
      <w:r>
        <w:rPr>
          <w:rFonts w:eastAsia="Arial"/>
          <w:sz w:val="24"/>
          <w:szCs w:val="24"/>
        </w:rPr>
        <w:t>Mar</w:t>
      </w:r>
      <w:r w:rsidR="00FD0A85">
        <w:rPr>
          <w:rFonts w:eastAsia="Arial"/>
          <w:sz w:val="24"/>
          <w:szCs w:val="24"/>
        </w:rPr>
        <w:t xml:space="preserve"> 2021.</w:t>
      </w:r>
    </w:p>
    <w:p w14:paraId="18A2F4EF" w14:textId="77777777" w:rsidR="00FD0A85" w:rsidRPr="00FD0A85" w:rsidRDefault="00FD0A85" w:rsidP="00A6150B">
      <w:pPr>
        <w:pStyle w:val="NoSpacing"/>
        <w:rPr>
          <w:rFonts w:eastAsia="Arial"/>
          <w:sz w:val="24"/>
          <w:szCs w:val="24"/>
        </w:rPr>
      </w:pPr>
    </w:p>
    <w:p w14:paraId="38BBEB66" w14:textId="69D39FC6" w:rsidR="00C14301" w:rsidRDefault="00C14301" w:rsidP="00C14301">
      <w:pPr>
        <w:pStyle w:val="NoSpacing"/>
        <w:rPr>
          <w:rFonts w:eastAsia="Arial"/>
          <w:sz w:val="24"/>
          <w:szCs w:val="24"/>
        </w:rPr>
      </w:pPr>
      <w:r>
        <w:rPr>
          <w:rFonts w:eastAsia="Arial"/>
          <w:sz w:val="24"/>
          <w:szCs w:val="24"/>
        </w:rPr>
        <w:t>Storm</w:t>
      </w:r>
      <w:r w:rsidRPr="00FD0A85">
        <w:rPr>
          <w:rFonts w:eastAsia="Arial"/>
          <w:sz w:val="24"/>
          <w:szCs w:val="24"/>
        </w:rPr>
        <w:t xml:space="preserve">, </w:t>
      </w:r>
      <w:r>
        <w:rPr>
          <w:rFonts w:eastAsia="Arial"/>
          <w:sz w:val="24"/>
          <w:szCs w:val="24"/>
        </w:rPr>
        <w:t>D.</w:t>
      </w:r>
      <w:r w:rsidRPr="00FD0A85">
        <w:rPr>
          <w:rFonts w:eastAsia="Arial"/>
          <w:sz w:val="24"/>
          <w:szCs w:val="24"/>
        </w:rPr>
        <w:t>: “</w:t>
      </w:r>
      <w:r>
        <w:rPr>
          <w:rFonts w:eastAsia="Arial"/>
          <w:sz w:val="24"/>
          <w:szCs w:val="24"/>
        </w:rPr>
        <w:t>$2 billion air traffic control system failed by running out of computer memory,” online resource available at:</w:t>
      </w:r>
      <w:r w:rsidRPr="00C14301">
        <w:t xml:space="preserve"> </w:t>
      </w:r>
      <w:hyperlink r:id="rId10" w:anchor=":~:text=It%20was%20a%20shortage%20of,be%20delayed%20on%20April%2030" w:history="1">
        <w:r w:rsidRPr="00CE11F0">
          <w:rPr>
            <w:rStyle w:val="Hyperlink"/>
            <w:rFonts w:eastAsia="Arial"/>
            <w:sz w:val="24"/>
            <w:szCs w:val="24"/>
          </w:rPr>
          <w:t>https://www.computerworld.com/article/2476246/-2-billion-air-traffic-control-system-failed-by-running-out-of-computer-memo.html#:~:text=It%20was%20a%20shortage%20of,be%20delayed%20on%20April%2030</w:t>
        </w:r>
      </w:hyperlink>
      <w:r>
        <w:rPr>
          <w:rFonts w:eastAsia="Arial"/>
          <w:sz w:val="24"/>
          <w:szCs w:val="24"/>
        </w:rPr>
        <w:t>, 2014. Accessed 14 Mar 2021.</w:t>
      </w:r>
    </w:p>
    <w:p w14:paraId="32C0CE18" w14:textId="77777777" w:rsidR="00C14301" w:rsidRDefault="00C14301" w:rsidP="00A6150B">
      <w:pPr>
        <w:pStyle w:val="NoSpacing"/>
        <w:rPr>
          <w:rFonts w:eastAsia="Arial"/>
          <w:sz w:val="24"/>
          <w:szCs w:val="24"/>
        </w:rPr>
      </w:pPr>
    </w:p>
    <w:p w14:paraId="29AF2FFC" w14:textId="0BB3FAAF" w:rsidR="00C14301" w:rsidRDefault="00C14301" w:rsidP="00C14301">
      <w:pPr>
        <w:pStyle w:val="NoSpacing"/>
        <w:rPr>
          <w:rFonts w:eastAsia="Arial"/>
          <w:sz w:val="24"/>
          <w:szCs w:val="24"/>
        </w:rPr>
      </w:pPr>
      <w:r>
        <w:rPr>
          <w:rFonts w:eastAsia="Arial"/>
          <w:sz w:val="24"/>
          <w:szCs w:val="24"/>
        </w:rPr>
        <w:t>Hampton, M</w:t>
      </w:r>
      <w:r w:rsidRPr="00FD0A85">
        <w:rPr>
          <w:rFonts w:eastAsia="Arial"/>
          <w:sz w:val="24"/>
          <w:szCs w:val="24"/>
        </w:rPr>
        <w:t>: “</w:t>
      </w:r>
      <w:r>
        <w:rPr>
          <w:rFonts w:eastAsia="Arial"/>
          <w:sz w:val="24"/>
          <w:szCs w:val="24"/>
        </w:rPr>
        <w:t>FAA Has Taken Steps to Address ERAM Outages, but Some Vulnerabilities Remain.” US Department of Transportation Report Number AV2019004. Available at:</w:t>
      </w:r>
      <w:r w:rsidRPr="00C14301">
        <w:t xml:space="preserve"> </w:t>
      </w:r>
      <w:hyperlink r:id="rId11" w:history="1">
        <w:r w:rsidRPr="00CE11F0">
          <w:rPr>
            <w:rStyle w:val="Hyperlink"/>
            <w:rFonts w:eastAsia="Arial"/>
            <w:sz w:val="24"/>
            <w:szCs w:val="24"/>
          </w:rPr>
          <w:t>https://www.oig.dot.gov/sites/default/files/FAA%20Actions%20to%20Address%20ERAM%20Outages%20Final%20Report%5E11-07-18.pdf</w:t>
        </w:r>
      </w:hyperlink>
      <w:r>
        <w:rPr>
          <w:rFonts w:eastAsia="Arial"/>
          <w:sz w:val="24"/>
          <w:szCs w:val="24"/>
        </w:rPr>
        <w:t>, 2018. Accessed 14 Mar 2021.</w:t>
      </w:r>
    </w:p>
    <w:p w14:paraId="2F70DE3D" w14:textId="064C1827" w:rsidR="00575DC8" w:rsidRDefault="00575DC8" w:rsidP="00C14301">
      <w:pPr>
        <w:pStyle w:val="NoSpacing"/>
        <w:rPr>
          <w:rFonts w:ascii="Calibri" w:hAnsi="Calibri" w:cs="Calibri"/>
          <w:b/>
          <w:color w:val="0070C0"/>
          <w:sz w:val="24"/>
          <w:szCs w:val="24"/>
        </w:rPr>
      </w:pPr>
    </w:p>
    <w:p w14:paraId="0BF7301D" w14:textId="3BBA4455" w:rsidR="00C14301" w:rsidRDefault="00C14301" w:rsidP="00C14301">
      <w:pPr>
        <w:pStyle w:val="NoSpacing"/>
        <w:rPr>
          <w:rFonts w:eastAsia="Arial"/>
          <w:sz w:val="24"/>
          <w:szCs w:val="24"/>
        </w:rPr>
      </w:pPr>
      <w:proofErr w:type="spellStart"/>
      <w:r>
        <w:rPr>
          <w:rFonts w:eastAsia="Arial"/>
          <w:sz w:val="24"/>
          <w:szCs w:val="24"/>
        </w:rPr>
        <w:t>Wilshusen</w:t>
      </w:r>
      <w:proofErr w:type="spellEnd"/>
      <w:r>
        <w:rPr>
          <w:rFonts w:eastAsia="Arial"/>
          <w:sz w:val="24"/>
          <w:szCs w:val="24"/>
        </w:rPr>
        <w:t xml:space="preserve">, G.; </w:t>
      </w:r>
      <w:proofErr w:type="spellStart"/>
      <w:r>
        <w:rPr>
          <w:rFonts w:eastAsia="Arial"/>
          <w:sz w:val="24"/>
          <w:szCs w:val="24"/>
        </w:rPr>
        <w:t>Barkakati</w:t>
      </w:r>
      <w:proofErr w:type="spellEnd"/>
      <w:r>
        <w:rPr>
          <w:rFonts w:eastAsia="Arial"/>
          <w:sz w:val="24"/>
          <w:szCs w:val="24"/>
        </w:rPr>
        <w:t>, N.; Dillingham, G.</w:t>
      </w:r>
      <w:r w:rsidRPr="00FD0A85">
        <w:rPr>
          <w:rFonts w:eastAsia="Arial"/>
          <w:sz w:val="24"/>
          <w:szCs w:val="24"/>
        </w:rPr>
        <w:t>: “</w:t>
      </w:r>
      <w:r>
        <w:rPr>
          <w:rFonts w:eastAsia="Arial"/>
          <w:sz w:val="24"/>
          <w:szCs w:val="24"/>
        </w:rPr>
        <w:t xml:space="preserve">FAA Needs to Address Weaknesses in </w:t>
      </w:r>
      <w:proofErr w:type="spellStart"/>
      <w:r>
        <w:rPr>
          <w:rFonts w:eastAsia="Arial"/>
          <w:sz w:val="24"/>
          <w:szCs w:val="24"/>
        </w:rPr>
        <w:t>Ait</w:t>
      </w:r>
      <w:proofErr w:type="spellEnd"/>
      <w:r>
        <w:rPr>
          <w:rFonts w:eastAsia="Arial"/>
          <w:sz w:val="24"/>
          <w:szCs w:val="24"/>
        </w:rPr>
        <w:t xml:space="preserve"> Traffic Control Systems.” US Government Accountability Office Report Number GAO-15-221. Available at: </w:t>
      </w:r>
      <w:hyperlink r:id="rId12" w:history="1">
        <w:r w:rsidRPr="00CE11F0">
          <w:rPr>
            <w:rStyle w:val="Hyperlink"/>
            <w:rFonts w:eastAsia="Arial"/>
            <w:sz w:val="24"/>
            <w:szCs w:val="24"/>
          </w:rPr>
          <w:t>https://www.gao.gov/assets/gao-15-221.pdf</w:t>
        </w:r>
      </w:hyperlink>
      <w:r>
        <w:rPr>
          <w:rFonts w:eastAsia="Arial"/>
          <w:sz w:val="24"/>
          <w:szCs w:val="24"/>
        </w:rPr>
        <w:t>, 2015. Accessed 14 Mar 2021.</w:t>
      </w:r>
    </w:p>
    <w:p w14:paraId="7D9B33DB" w14:textId="077865A4" w:rsidR="00C14301" w:rsidRDefault="00C14301" w:rsidP="00C14301">
      <w:pPr>
        <w:pStyle w:val="NoSpacing"/>
        <w:rPr>
          <w:rFonts w:eastAsia="Arial"/>
          <w:sz w:val="24"/>
          <w:szCs w:val="24"/>
        </w:rPr>
      </w:pPr>
    </w:p>
    <w:p w14:paraId="1A0B5078" w14:textId="5A541E01" w:rsidR="00C14301" w:rsidRDefault="00C14301" w:rsidP="00C14301">
      <w:pPr>
        <w:pStyle w:val="NoSpacing"/>
        <w:rPr>
          <w:rFonts w:eastAsia="Arial"/>
          <w:sz w:val="24"/>
          <w:szCs w:val="24"/>
        </w:rPr>
      </w:pPr>
      <w:r>
        <w:rPr>
          <w:rFonts w:eastAsia="Arial"/>
          <w:sz w:val="24"/>
          <w:szCs w:val="24"/>
        </w:rPr>
        <w:t>Jones, T</w:t>
      </w:r>
      <w:r w:rsidRPr="00FD0A85">
        <w:rPr>
          <w:rFonts w:eastAsia="Arial"/>
          <w:sz w:val="24"/>
          <w:szCs w:val="24"/>
        </w:rPr>
        <w:t>: “</w:t>
      </w:r>
      <w:r>
        <w:rPr>
          <w:rFonts w:eastAsia="Arial"/>
          <w:sz w:val="24"/>
          <w:szCs w:val="24"/>
        </w:rPr>
        <w:t xml:space="preserve">Fact Sheet – </w:t>
      </w:r>
      <w:proofErr w:type="spellStart"/>
      <w:r>
        <w:rPr>
          <w:rFonts w:eastAsia="Arial"/>
          <w:sz w:val="24"/>
          <w:szCs w:val="24"/>
        </w:rPr>
        <w:t>En</w:t>
      </w:r>
      <w:proofErr w:type="spellEnd"/>
      <w:r>
        <w:rPr>
          <w:rFonts w:eastAsia="Arial"/>
          <w:sz w:val="24"/>
          <w:szCs w:val="24"/>
        </w:rPr>
        <w:t xml:space="preserve"> Route Automation Modernization (ERAM).” Federal Aviation Administration resource available at: </w:t>
      </w:r>
      <w:hyperlink r:id="rId13" w:history="1">
        <w:r w:rsidRPr="00CE11F0">
          <w:rPr>
            <w:rStyle w:val="Hyperlink"/>
            <w:rFonts w:eastAsia="Arial"/>
            <w:sz w:val="24"/>
            <w:szCs w:val="24"/>
          </w:rPr>
          <w:t>https://www.faa.gov/news/fact_sheets/news_story.cfm?newsId=7714</w:t>
        </w:r>
      </w:hyperlink>
      <w:r>
        <w:rPr>
          <w:rFonts w:eastAsia="Arial"/>
          <w:sz w:val="24"/>
          <w:szCs w:val="24"/>
        </w:rPr>
        <w:t>, 2020. Accessed 14 Mar 2021.</w:t>
      </w:r>
    </w:p>
    <w:p w14:paraId="30DFF01D" w14:textId="5E96DBE2" w:rsidR="00C14301" w:rsidRDefault="00C14301" w:rsidP="00C14301">
      <w:pPr>
        <w:pStyle w:val="NoSpacing"/>
        <w:rPr>
          <w:rFonts w:eastAsia="Arial"/>
          <w:sz w:val="24"/>
          <w:szCs w:val="24"/>
        </w:rPr>
      </w:pPr>
    </w:p>
    <w:p w14:paraId="6CAB8AC2" w14:textId="2C241967" w:rsidR="00C14301" w:rsidRDefault="00FE33C1" w:rsidP="00C14301">
      <w:pPr>
        <w:pStyle w:val="NoSpacing"/>
        <w:rPr>
          <w:rFonts w:eastAsia="Arial"/>
          <w:sz w:val="24"/>
          <w:szCs w:val="24"/>
        </w:rPr>
      </w:pPr>
      <w:r>
        <w:rPr>
          <w:rFonts w:eastAsia="Arial"/>
          <w:sz w:val="24"/>
          <w:szCs w:val="24"/>
        </w:rPr>
        <w:t xml:space="preserve">Guru 99: “Boundary Value Analysis and Equivalence Partitioning Testing”, online tutorial available at: </w:t>
      </w:r>
      <w:hyperlink r:id="rId14" w:history="1">
        <w:r w:rsidRPr="00CE11F0">
          <w:rPr>
            <w:rStyle w:val="Hyperlink"/>
            <w:rFonts w:eastAsia="Arial"/>
            <w:sz w:val="24"/>
            <w:szCs w:val="24"/>
          </w:rPr>
          <w:t>https://www.guru99.com/equivalence-partitioning-boundary-value-analysis.html</w:t>
        </w:r>
      </w:hyperlink>
      <w:r>
        <w:rPr>
          <w:rFonts w:eastAsia="Arial"/>
          <w:sz w:val="24"/>
          <w:szCs w:val="24"/>
        </w:rPr>
        <w:t xml:space="preserve">, accessed 30 Mar </w:t>
      </w:r>
      <w:proofErr w:type="gramStart"/>
      <w:r>
        <w:rPr>
          <w:rFonts w:eastAsia="Arial"/>
          <w:sz w:val="24"/>
          <w:szCs w:val="24"/>
        </w:rPr>
        <w:t>2021</w:t>
      </w:r>
      <w:proofErr w:type="gramEnd"/>
    </w:p>
    <w:p w14:paraId="7FEF593C" w14:textId="1C3F4451" w:rsidR="00E20AF7" w:rsidRDefault="00E20AF7" w:rsidP="00C14301">
      <w:pPr>
        <w:pStyle w:val="NoSpacing"/>
        <w:rPr>
          <w:rFonts w:eastAsia="Arial"/>
          <w:sz w:val="24"/>
          <w:szCs w:val="24"/>
        </w:rPr>
      </w:pPr>
    </w:p>
    <w:p w14:paraId="42ED852D" w14:textId="77777777" w:rsidR="00E20AF7" w:rsidRPr="00FD0A85" w:rsidRDefault="00E20AF7" w:rsidP="00E20AF7">
      <w:pPr>
        <w:pStyle w:val="NoSpacing"/>
        <w:rPr>
          <w:sz w:val="24"/>
          <w:szCs w:val="24"/>
        </w:rPr>
      </w:pPr>
      <w:r>
        <w:rPr>
          <w:sz w:val="24"/>
          <w:szCs w:val="24"/>
        </w:rPr>
        <w:t xml:space="preserve">Wilson, K.; Brickman, P; </w:t>
      </w:r>
      <w:proofErr w:type="spellStart"/>
      <w:r>
        <w:rPr>
          <w:sz w:val="24"/>
          <w:szCs w:val="24"/>
        </w:rPr>
        <w:t>Brame</w:t>
      </w:r>
      <w:proofErr w:type="spellEnd"/>
      <w:r>
        <w:rPr>
          <w:sz w:val="24"/>
          <w:szCs w:val="24"/>
        </w:rPr>
        <w:t>, C: Group Work. Life Sciences Education 17(1), 2018.</w:t>
      </w:r>
    </w:p>
    <w:p w14:paraId="422C9218" w14:textId="77777777" w:rsidR="00E20AF7" w:rsidRPr="00FD0A85" w:rsidRDefault="00E20AF7" w:rsidP="00C14301">
      <w:pPr>
        <w:pStyle w:val="NoSpacing"/>
        <w:rPr>
          <w:rFonts w:ascii="Calibri" w:hAnsi="Calibri" w:cs="Calibri"/>
          <w:b/>
          <w:color w:val="0070C0"/>
          <w:sz w:val="24"/>
          <w:szCs w:val="24"/>
        </w:rPr>
      </w:pPr>
    </w:p>
    <w:sectPr w:rsidR="00E20AF7" w:rsidRPr="00FD0A85" w:rsidSect="00331461">
      <w:headerReference w:type="default" r:id="rId15"/>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1AC89" w14:textId="77777777" w:rsidR="00273D03" w:rsidRDefault="00273D03" w:rsidP="00350565">
      <w:r>
        <w:separator/>
      </w:r>
    </w:p>
    <w:p w14:paraId="3014CC87" w14:textId="77777777" w:rsidR="00273D03" w:rsidRDefault="00273D03"/>
  </w:endnote>
  <w:endnote w:type="continuationSeparator" w:id="0">
    <w:p w14:paraId="2A80694A" w14:textId="77777777" w:rsidR="00273D03" w:rsidRDefault="00273D03" w:rsidP="00350565">
      <w:r>
        <w:continuationSeparator/>
      </w:r>
    </w:p>
    <w:p w14:paraId="1B54016B" w14:textId="77777777" w:rsidR="00273D03" w:rsidRDefault="00273D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657763" w:rsidRDefault="006577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47F136" w14:textId="77777777" w:rsidR="00273D03" w:rsidRDefault="00273D03" w:rsidP="00350565">
      <w:r>
        <w:separator/>
      </w:r>
    </w:p>
    <w:p w14:paraId="07FD9636" w14:textId="77777777" w:rsidR="00273D03" w:rsidRDefault="00273D03"/>
  </w:footnote>
  <w:footnote w:type="continuationSeparator" w:id="0">
    <w:p w14:paraId="71B55713" w14:textId="77777777" w:rsidR="00273D03" w:rsidRDefault="00273D03" w:rsidP="00350565">
      <w:r>
        <w:continuationSeparator/>
      </w:r>
    </w:p>
    <w:p w14:paraId="54DA6C29" w14:textId="77777777" w:rsidR="00273D03" w:rsidRDefault="00273D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657763" w:rsidRDefault="006577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3F18FB"/>
    <w:multiLevelType w:val="hybridMultilevel"/>
    <w:tmpl w:val="F810FF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592103A"/>
    <w:multiLevelType w:val="hybridMultilevel"/>
    <w:tmpl w:val="F810F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31"/>
  </w:num>
  <w:num w:numId="4">
    <w:abstractNumId w:val="24"/>
  </w:num>
  <w:num w:numId="5">
    <w:abstractNumId w:val="34"/>
  </w:num>
  <w:num w:numId="6">
    <w:abstractNumId w:val="3"/>
  </w:num>
  <w:num w:numId="7">
    <w:abstractNumId w:val="25"/>
  </w:num>
  <w:num w:numId="8">
    <w:abstractNumId w:val="11"/>
  </w:num>
  <w:num w:numId="9">
    <w:abstractNumId w:val="19"/>
  </w:num>
  <w:num w:numId="10">
    <w:abstractNumId w:val="7"/>
  </w:num>
  <w:num w:numId="11">
    <w:abstractNumId w:val="8"/>
  </w:num>
  <w:num w:numId="12">
    <w:abstractNumId w:val="10"/>
  </w:num>
  <w:num w:numId="13">
    <w:abstractNumId w:val="15"/>
  </w:num>
  <w:num w:numId="14">
    <w:abstractNumId w:val="23"/>
  </w:num>
  <w:num w:numId="15">
    <w:abstractNumId w:val="5"/>
  </w:num>
  <w:num w:numId="16">
    <w:abstractNumId w:val="12"/>
  </w:num>
  <w:num w:numId="17">
    <w:abstractNumId w:val="33"/>
  </w:num>
  <w:num w:numId="18">
    <w:abstractNumId w:val="17"/>
  </w:num>
  <w:num w:numId="19">
    <w:abstractNumId w:val="1"/>
  </w:num>
  <w:num w:numId="20">
    <w:abstractNumId w:val="16"/>
  </w:num>
  <w:num w:numId="21">
    <w:abstractNumId w:val="27"/>
  </w:num>
  <w:num w:numId="22">
    <w:abstractNumId w:val="0"/>
  </w:num>
  <w:num w:numId="23">
    <w:abstractNumId w:val="22"/>
  </w:num>
  <w:num w:numId="24">
    <w:abstractNumId w:val="30"/>
  </w:num>
  <w:num w:numId="25">
    <w:abstractNumId w:val="6"/>
  </w:num>
  <w:num w:numId="26">
    <w:abstractNumId w:val="20"/>
  </w:num>
  <w:num w:numId="27">
    <w:abstractNumId w:val="28"/>
  </w:num>
  <w:num w:numId="28">
    <w:abstractNumId w:val="18"/>
  </w:num>
  <w:num w:numId="29">
    <w:abstractNumId w:val="32"/>
  </w:num>
  <w:num w:numId="30">
    <w:abstractNumId w:val="4"/>
  </w:num>
  <w:num w:numId="31">
    <w:abstractNumId w:val="29"/>
  </w:num>
  <w:num w:numId="32">
    <w:abstractNumId w:val="9"/>
  </w:num>
  <w:num w:numId="33">
    <w:abstractNumId w:val="26"/>
  </w:num>
  <w:num w:numId="34">
    <w:abstractNumId w:val="21"/>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54564"/>
    <w:rsid w:val="00071A1B"/>
    <w:rsid w:val="000944AE"/>
    <w:rsid w:val="000B29D2"/>
    <w:rsid w:val="000C4D53"/>
    <w:rsid w:val="000D25E0"/>
    <w:rsid w:val="000E393A"/>
    <w:rsid w:val="000F1DD8"/>
    <w:rsid w:val="00116A27"/>
    <w:rsid w:val="00125729"/>
    <w:rsid w:val="00134E85"/>
    <w:rsid w:val="001433A4"/>
    <w:rsid w:val="001A1F95"/>
    <w:rsid w:val="001E1A0F"/>
    <w:rsid w:val="00206667"/>
    <w:rsid w:val="002101EA"/>
    <w:rsid w:val="002158FC"/>
    <w:rsid w:val="00227F58"/>
    <w:rsid w:val="002511FE"/>
    <w:rsid w:val="00273D03"/>
    <w:rsid w:val="00285DB5"/>
    <w:rsid w:val="0029060D"/>
    <w:rsid w:val="002B7157"/>
    <w:rsid w:val="002E2E69"/>
    <w:rsid w:val="00300D0C"/>
    <w:rsid w:val="00325FB4"/>
    <w:rsid w:val="00331461"/>
    <w:rsid w:val="00350565"/>
    <w:rsid w:val="0035429C"/>
    <w:rsid w:val="00383A15"/>
    <w:rsid w:val="003B3504"/>
    <w:rsid w:val="00421E1B"/>
    <w:rsid w:val="00435E5F"/>
    <w:rsid w:val="00436654"/>
    <w:rsid w:val="0044431A"/>
    <w:rsid w:val="00447F01"/>
    <w:rsid w:val="0047667A"/>
    <w:rsid w:val="00487D49"/>
    <w:rsid w:val="005000BF"/>
    <w:rsid w:val="00505CCF"/>
    <w:rsid w:val="00511F12"/>
    <w:rsid w:val="00513FDA"/>
    <w:rsid w:val="00550D22"/>
    <w:rsid w:val="0057224E"/>
    <w:rsid w:val="00575DC8"/>
    <w:rsid w:val="00583B22"/>
    <w:rsid w:val="005965C4"/>
    <w:rsid w:val="005E1D97"/>
    <w:rsid w:val="005E4693"/>
    <w:rsid w:val="006006D2"/>
    <w:rsid w:val="006273EC"/>
    <w:rsid w:val="00640F7E"/>
    <w:rsid w:val="00657763"/>
    <w:rsid w:val="006629DE"/>
    <w:rsid w:val="00686D3C"/>
    <w:rsid w:val="006D461D"/>
    <w:rsid w:val="007627ED"/>
    <w:rsid w:val="00764B7F"/>
    <w:rsid w:val="007712F4"/>
    <w:rsid w:val="00776CD6"/>
    <w:rsid w:val="0077762D"/>
    <w:rsid w:val="00793D52"/>
    <w:rsid w:val="007B4BC3"/>
    <w:rsid w:val="007E0B8F"/>
    <w:rsid w:val="007E7882"/>
    <w:rsid w:val="007F276C"/>
    <w:rsid w:val="007F68B8"/>
    <w:rsid w:val="00835DCB"/>
    <w:rsid w:val="00847FB9"/>
    <w:rsid w:val="00855E9C"/>
    <w:rsid w:val="00876080"/>
    <w:rsid w:val="008C130D"/>
    <w:rsid w:val="00926569"/>
    <w:rsid w:val="0093157F"/>
    <w:rsid w:val="00954D27"/>
    <w:rsid w:val="009633BF"/>
    <w:rsid w:val="00966821"/>
    <w:rsid w:val="009A1DDF"/>
    <w:rsid w:val="009A2C22"/>
    <w:rsid w:val="009E6947"/>
    <w:rsid w:val="00A12588"/>
    <w:rsid w:val="00A14D5C"/>
    <w:rsid w:val="00A315BC"/>
    <w:rsid w:val="00A6150B"/>
    <w:rsid w:val="00A67A7F"/>
    <w:rsid w:val="00A77A5C"/>
    <w:rsid w:val="00A83531"/>
    <w:rsid w:val="00A905E5"/>
    <w:rsid w:val="00A9595C"/>
    <w:rsid w:val="00AE0C53"/>
    <w:rsid w:val="00AE1A17"/>
    <w:rsid w:val="00AF3A1F"/>
    <w:rsid w:val="00B009D3"/>
    <w:rsid w:val="00B017CB"/>
    <w:rsid w:val="00B65D22"/>
    <w:rsid w:val="00B72052"/>
    <w:rsid w:val="00B7360A"/>
    <w:rsid w:val="00B77A86"/>
    <w:rsid w:val="00BC11BD"/>
    <w:rsid w:val="00BC4A5F"/>
    <w:rsid w:val="00BE5546"/>
    <w:rsid w:val="00C14301"/>
    <w:rsid w:val="00C17552"/>
    <w:rsid w:val="00C3135C"/>
    <w:rsid w:val="00C32966"/>
    <w:rsid w:val="00C74353"/>
    <w:rsid w:val="00CB1F01"/>
    <w:rsid w:val="00CC301E"/>
    <w:rsid w:val="00D26CED"/>
    <w:rsid w:val="00D31A2D"/>
    <w:rsid w:val="00D35ECE"/>
    <w:rsid w:val="00D606C5"/>
    <w:rsid w:val="00D701FD"/>
    <w:rsid w:val="00D724DF"/>
    <w:rsid w:val="00D7262A"/>
    <w:rsid w:val="00D77DA7"/>
    <w:rsid w:val="00D82BA3"/>
    <w:rsid w:val="00DB6033"/>
    <w:rsid w:val="00DD6F4D"/>
    <w:rsid w:val="00DE2588"/>
    <w:rsid w:val="00DE7C18"/>
    <w:rsid w:val="00E0649D"/>
    <w:rsid w:val="00E1505E"/>
    <w:rsid w:val="00E20AF7"/>
    <w:rsid w:val="00E24714"/>
    <w:rsid w:val="00E32939"/>
    <w:rsid w:val="00E45D16"/>
    <w:rsid w:val="00E50814"/>
    <w:rsid w:val="00E8339C"/>
    <w:rsid w:val="00EA01EA"/>
    <w:rsid w:val="00EA1359"/>
    <w:rsid w:val="00EB16B9"/>
    <w:rsid w:val="00EB52B6"/>
    <w:rsid w:val="00EB5928"/>
    <w:rsid w:val="00EE7E4B"/>
    <w:rsid w:val="00F25CAF"/>
    <w:rsid w:val="00F80CBA"/>
    <w:rsid w:val="00FB4CCA"/>
    <w:rsid w:val="00FD0A85"/>
    <w:rsid w:val="00FE33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RAM" TargetMode="External"/><Relationship Id="rId13" Type="http://schemas.openxmlformats.org/officeDocument/2006/relationships/hyperlink" Target="https://www.faa.gov/news/fact_sheets/news_story.cfm?newsId=77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o.gov/assets/gao-15-22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ig.dot.gov/sites/default/files/FAA%20Actions%20to%20Address%20ERAM%20Outages%20Final%20Report%5E11-07-18.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omputerworld.com/article/2476246/-2-billion-air-traffic-control-system-failed-by-running-out-of-computer-memo.html" TargetMode="External"/><Relationship Id="rId4" Type="http://schemas.openxmlformats.org/officeDocument/2006/relationships/settings" Target="settings.xml"/><Relationship Id="rId9" Type="http://schemas.openxmlformats.org/officeDocument/2006/relationships/hyperlink" Target="https://www.reuters.com/article/us-airtraffic-bug-exclusive/exclusive-air-traffic-system-failure-caused-by-computer-memory-shortage-idUSBREA4B02320140512" TargetMode="External"/><Relationship Id="rId14" Type="http://schemas.openxmlformats.org/officeDocument/2006/relationships/hyperlink" Target="https://www.guru99.com/equivalence-partitioning-boundary-value-analy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1360</Words>
  <Characters>7442</Characters>
  <Application>Microsoft Office Word</Application>
  <DocSecurity>0</DocSecurity>
  <Lines>218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5</cp:revision>
  <dcterms:created xsi:type="dcterms:W3CDTF">2021-04-02T14:46:00Z</dcterms:created>
  <dcterms:modified xsi:type="dcterms:W3CDTF">2021-04-07T12:30:00Z</dcterms:modified>
</cp:coreProperties>
</file>